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 w:lineRule="auto" w:line="300"/>
      </w:pPr>
      <w:r>
        <w:rPr>
          <w:rFonts w:ascii="Calibri" w:hAnsi="Calibri" w:eastAsia="Calibri"/>
          <w:b/>
          <w:i w:val="0"/>
          <w:color w:val="4E9E10"/>
          <w:sz w:val="20"/>
        </w:rPr>
        <w:t>ОПРОСНЫЙ ЛИСТ</w:t>
      </w:r>
    </w:p>
    <w:p>
      <w:pPr>
        <w:keepNext w:val="0"/>
        <w:spacing w:before="0" w:after="60" w:lineRule="auto" w:line="300"/>
      </w:pPr>
      <w:r>
        <w:rPr>
          <w:rFonts w:ascii="Calibri" w:hAnsi="Calibri" w:eastAsia="Calibri"/>
          <w:b/>
          <w:i w:val="0"/>
          <w:color w:val="202527"/>
          <w:sz w:val="48"/>
        </w:rPr>
        <w:t>Предварительный подбор МУПСД</w:t>
      </w:r>
    </w:p>
    <w:p>
      <w:pPr>
        <w:keepNext w:val="0"/>
        <w:spacing w:before="0" w:after="160" w:lineRule="auto" w:line="300"/>
      </w:pPr>
      <w:r>
        <w:rPr>
          <w:rFonts w:ascii="Calibri" w:hAnsi="Calibri" w:eastAsia="Calibri"/>
          <w:b w:val="0"/>
          <w:i w:val="0"/>
          <w:color w:val="5D6466"/>
          <w:sz w:val="26"/>
        </w:rPr>
        <w:t>Мобильные установки получения среднего дистиллята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4F8EF" w:val="clear"/>
            <w:tcBorders>
              <w:start w:val="single" w:sz="20" w:color="78D91B"/>
              <w:top w:val="nil"/>
              <w:bottom w:val="nil"/>
              <w:end w:val="nil"/>
            </w:tcBorders>
          </w:tcPr>
          <w:p>
            <w:pPr>
              <w:keepNext w:val="0"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4E9E10"/>
                <w:sz w:val="21"/>
              </w:rPr>
              <w:t>Как заполнять</w:t>
            </w:r>
          </w:p>
          <w:p>
            <w:pPr>
              <w:keepNext w:val="0"/>
              <w:spacing w:before="0" w:after="0" w:lineRule="auto" w:line="300"/>
            </w:pPr>
            <w:r>
              <w:rPr>
                <w:rFonts w:ascii="Calibri" w:hAnsi="Calibri" w:eastAsia="Calibri"/>
                <w:b w:val="0"/>
                <w:i w:val="0"/>
                <w:color w:val="202527"/>
                <w:sz w:val="21"/>
              </w:rPr>
              <w:t>Заполните доступные сведения и приложите паспорт/анализ нефти. Для предварительной оценки допустимы неполные данные; гарантии по выходу и качеству формируются только после исследования репрезентативной пробы.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01  </w:t>
      </w:r>
      <w:r>
        <w:rPr>
          <w:rFonts w:ascii="Calibri" w:hAnsi="Calibri" w:eastAsia="Calibri"/>
          <w:b/>
          <w:i w:val="0"/>
          <w:color w:val="202527"/>
          <w:sz w:val="32"/>
        </w:rPr>
        <w:t>Заказчик и проект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Организация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название]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Контактное лицо / должность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ФИО и должность]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Телефон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телефон]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Корпоративная почта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e-mail]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Месторождение / объект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название]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Регион / ближайший город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местоположение]</w:t>
            </w:r>
          </w:p>
        </w:tc>
      </w:tr>
    </w:tbl>
    <w:p>
      <w:pPr>
        <w:spacing w:after="40"/>
      </w:pPr>
    </w:p>
    <w:p>
      <w:pPr>
        <w:keepNext/>
        <w:spacing w:before="0" w:after="6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Кратко опишите задачу заказчика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BFCFB" w:val="clea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 w:val="0"/>
              <w:spacing w:before="0" w:after="40" w:lineRule="auto" w:line="300"/>
            </w:pPr>
            <w:r/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02  </w:t>
      </w:r>
      <w:r>
        <w:rPr>
          <w:rFonts w:ascii="Calibri" w:hAnsi="Calibri" w:eastAsia="Calibri"/>
          <w:b/>
          <w:i w:val="0"/>
          <w:color w:val="202527"/>
          <w:sz w:val="32"/>
        </w:rPr>
        <w:t>Потребность и режим эксплуатации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Требуемая подача нефти, м³/сут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min / номинал / max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Требуемый выпуск продукта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м³/сут или т/год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Режим работы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час/сут, дней/год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Сезонность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круглый год / период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Срок начала эксплуатации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ориентир]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Планируемый срок работы на объекте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ориентир]</w:t>
            </w:r>
          </w:p>
        </w:tc>
      </w:tr>
    </w:tbl>
    <w:p>
      <w:pPr>
        <w:spacing w:after="40"/>
      </w:pP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Основной сценарий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постоянная эксплуатация    ☐ ОПР / испытания    ☐ сезонная потребность    ☐ релокация между объектами</w:t>
      </w: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Предпочтительная коммерческая модель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поставка оборудования    ☐ аренда / сервис    ☐ лизинг    ☐ нужна сравнительная оценка</w:t>
      </w: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03  </w:t>
      </w:r>
      <w:r>
        <w:rPr>
          <w:rFonts w:ascii="Calibri" w:hAnsi="Calibri" w:eastAsia="Calibri"/>
          <w:b/>
          <w:i w:val="0"/>
          <w:color w:val="202527"/>
          <w:sz w:val="32"/>
        </w:rPr>
        <w:t>Исходная нефть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Плотность при 20 °C, кг/м³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Сера общая, % масс.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Вода, % масс.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Хлористые соли, мг/дм³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Вязкость и температура замера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Парафины, смолы, асфальтены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значения]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Температура застывания, °C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H₂S / меркаптаны / кислотность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значения]</w:t>
            </w:r>
          </w:p>
        </w:tc>
      </w:tr>
    </w:tbl>
    <w:p>
      <w:pPr>
        <w:spacing w:after="40"/>
      </w:pP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Какие материалы доступны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паспорт нефти    ☐ кривая разгонки    ☐ SARA    ☐ CCR/MCR    ☐ репрезентативная проба</w:t>
      </w:r>
    </w:p>
    <w:p>
      <w:pPr>
        <w:keepNext w:val="0"/>
        <w:spacing w:before="0" w:after="160" w:lineRule="auto" w:line="300"/>
      </w:pPr>
      <w:r>
        <w:rPr>
          <w:rFonts w:ascii="Calibri" w:hAnsi="Calibri" w:eastAsia="Calibri"/>
          <w:b w:val="0"/>
          <w:i/>
          <w:color w:val="5D6466"/>
          <w:sz w:val="19"/>
        </w:rPr>
        <w:t>Если кривая разгонки отсутствует, СТК предложит программу исследования пробы.</w:t>
      </w:r>
    </w:p>
    <w:p>
      <w:pPr>
        <w:keepNext/>
        <w:spacing w:before="0" w:after="6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Диапазон и стабильность состава нефти во времени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BFCFB" w:val="clea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 w:val="0"/>
              <w:spacing w:before="0" w:after="40" w:lineRule="auto" w:line="300"/>
            </w:pPr>
            <w:r/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04  </w:t>
      </w:r>
      <w:r>
        <w:rPr>
          <w:rFonts w:ascii="Calibri" w:hAnsi="Calibri" w:eastAsia="Calibri"/>
          <w:b/>
          <w:i w:val="0"/>
          <w:color w:val="202527"/>
          <w:sz w:val="32"/>
        </w:rPr>
        <w:t>Целевой продукт и остальные потоки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Целевая фракция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например, 180–360 °C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Назначение продукта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собственные нужды / смешение / доочистка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Целевой стандарт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ГОСТ / ТУ / внутренний стандарт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Сорт / класс / сезонность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летний / межсезонный / зимний / арктический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Требуемая температура вспышки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Требуемая ПТФ / застывание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Допустимая сера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Требования к цетановому числу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</w:tr>
    </w:tbl>
    <w:p>
      <w:pPr>
        <w:spacing w:after="40"/>
      </w:pP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Маршрут лёгкой фракции и остатка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смешение и возврат в нефтепровод    ☐ раздельное использование    ☐ налив / хранение    ☐ требуется проработка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4F8EF" w:val="clear"/>
            <w:tcBorders>
              <w:start w:val="single" w:sz="20" w:color="78D91B"/>
              <w:top w:val="nil"/>
              <w:bottom w:val="nil"/>
              <w:end w:val="nil"/>
            </w:tcBorders>
          </w:tcPr>
          <w:p>
            <w:pPr>
              <w:keepNext w:val="0"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4E9E10"/>
                <w:sz w:val="21"/>
              </w:rPr>
              <w:t>Граница обещаний</w:t>
            </w:r>
          </w:p>
          <w:p>
            <w:pPr>
              <w:keepNext w:val="0"/>
              <w:spacing w:before="0" w:after="0" w:lineRule="auto" w:line="300"/>
            </w:pPr>
            <w:r>
              <w:rPr>
                <w:rFonts w:ascii="Calibri" w:hAnsi="Calibri" w:eastAsia="Calibri"/>
                <w:b w:val="0"/>
                <w:i w:val="0"/>
                <w:color w:val="202527"/>
                <w:sz w:val="21"/>
              </w:rPr>
              <w:t>МУПСД выделяет среднюю фракцию. Соответствие товарному дизельному топливу, К4/К5 и низкотемпературным требованиям подтверждается по конкретной нефти и при необходимости обеспечивается дополнительными блоками очистки, депарафинизации и присадками.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05  </w:t>
      </w:r>
      <w:r>
        <w:rPr>
          <w:rFonts w:ascii="Calibri" w:hAnsi="Calibri" w:eastAsia="Calibri"/>
          <w:b/>
          <w:i w:val="0"/>
          <w:color w:val="202527"/>
          <w:sz w:val="32"/>
        </w:rPr>
        <w:t>Площадка и климат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Минимальная температура, °C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Максимальная температура, °C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значение]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Категория размещения / климат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ХЛ1 / УХЛ1 / иное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Доступная площадь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Д × Ш, ограничения по высоте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Способ доставки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авто / ж.д. / вода / зимник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Ограничения маршрута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габарит / масса / мосты</w:t>
            </w:r>
          </w:p>
        </w:tc>
      </w:tr>
    </w:tbl>
    <w:p>
      <w:pPr>
        <w:spacing w:after="40"/>
      </w:pPr>
    </w:p>
    <w:p>
      <w:pPr>
        <w:keepNext/>
        <w:spacing w:before="0" w:after="6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Точки подключения и существующая инфраструктура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BFCFB" w:val="clea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 w:val="0"/>
              <w:spacing w:before="0" w:after="40" w:lineRule="auto" w:line="300"/>
            </w:pPr>
            <w:r/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06  </w:t>
      </w:r>
      <w:r>
        <w:rPr>
          <w:rFonts w:ascii="Calibri" w:hAnsi="Calibri" w:eastAsia="Calibri"/>
          <w:b/>
          <w:i w:val="0"/>
          <w:color w:val="202527"/>
          <w:sz w:val="32"/>
        </w:rPr>
        <w:t>Энергоресурсы и интеграция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/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Электроснабжение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напряжение / доступная мощность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Топливный газ / ПНГ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состав / давление / расход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Дизель / иное топливо нагревателя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[Если применимо]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Воздух КИП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давление / расход</w:t>
            </w:r>
          </w:p>
        </w:tc>
      </w:tr>
      <w:tr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Охлаждение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вода / АВО / требуется автономное</w:t>
            </w:r>
          </w:p>
        </w:tc>
        <w:tc>
          <w:tcPr>
            <w:tcW w:type="dxa" w:w="468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5D6466"/>
                <w:sz w:val="19"/>
              </w:rPr>
              <w:t>Связь и диспетчеризация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локально / удалённо / протокол</w:t>
            </w:r>
          </w:p>
        </w:tc>
      </w:tr>
    </w:tbl>
    <w:p>
      <w:pPr>
        <w:spacing w:after="40"/>
      </w:pP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Требуемый уровень поставки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базовая    ☐ промышленная    ☐ комплексная под ключ    ☐ нужна сравнительная оценка</w:t>
      </w: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Нужные дополнительные блоки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учёт сырья    ☐ учёт продуктов    ☐ смешение    ☐ возврат остатка    ☐ лаборатория    ☐ ёмкости / налив    ☐ факельное хозяйство</w:t>
      </w:r>
    </w:p>
    <w:p>
      <w:pPr>
        <w:pStyle w:val="Heading1"/>
        <w:keepNext/>
        <w:spacing w:before="360" w:after="200" w:lineRule="auto" w:line="300"/>
      </w:pPr>
      <w:r>
        <w:rPr>
          <w:rFonts w:ascii="Calibri" w:hAnsi="Calibri" w:eastAsia="Calibri"/>
          <w:b/>
          <w:i w:val="0"/>
          <w:color w:val="4E9E10"/>
          <w:sz w:val="32"/>
        </w:rPr>
        <w:t xml:space="preserve">07  </w:t>
      </w:r>
      <w:r>
        <w:rPr>
          <w:rFonts w:ascii="Calibri" w:hAnsi="Calibri" w:eastAsia="Calibri"/>
          <w:b/>
          <w:i w:val="0"/>
          <w:color w:val="202527"/>
          <w:sz w:val="32"/>
        </w:rPr>
        <w:t>Материалы к заявке</w:t>
      </w:r>
    </w:p>
    <w:p>
      <w:pPr>
        <w:keepNext/>
        <w:spacing w:before="0" w:after="8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Приложите по возможности</w:t>
      </w:r>
    </w:p>
    <w:p>
      <w:pPr>
        <w:keepNext w:val="0"/>
        <w:spacing w:before="0" w:after="120" w:lineRule="auto" w:line="300"/>
      </w:pPr>
      <w:r>
        <w:rPr>
          <w:rFonts w:ascii="Calibri" w:hAnsi="Calibri" w:eastAsia="Calibri"/>
          <w:b w:val="0"/>
          <w:i w:val="0"/>
          <w:color w:val="202527"/>
          <w:sz w:val="21"/>
        </w:rPr>
        <w:t>☐ паспорт нефти    ☐ кривую разгонки    ☐ план площадки    ☐ технические требования    ☐ параметры энергоресурсов</w:t>
      </w:r>
    </w:p>
    <w:p>
      <w:pPr>
        <w:keepNext/>
        <w:spacing w:before="0" w:after="60" w:lineRule="auto" w:line="300"/>
      </w:pPr>
      <w:r>
        <w:rPr>
          <w:rFonts w:ascii="Calibri" w:hAnsi="Calibri" w:eastAsia="Calibri"/>
          <w:b/>
          <w:i w:val="0"/>
          <w:color w:val="202527"/>
          <w:sz w:val="21"/>
        </w:rPr>
        <w:t>Дополнительные требования, ограничения и комментарии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BFCFB" w:val="clear"/>
            <w:tcBorders>
              <w:top w:val="single" w:sz="5" w:color="D9DFDA"/>
              <w:bottom w:val="single" w:sz="5" w:color="D9DFDA"/>
              <w:start w:val="single" w:sz="5" w:color="D9DFDA"/>
              <w:end w:val="single" w:sz="5" w:color="D9DFDA"/>
            </w:tcBorders>
          </w:tcPr>
          <w:p>
            <w:pPr>
              <w:keepNext w:val="0"/>
              <w:spacing w:before="0" w:after="40" w:lineRule="auto" w:line="300"/>
            </w:pPr>
            <w:r/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  <w:p>
            <w:pPr>
              <w:keepNext w:val="0"/>
              <w:spacing w:before="0" w:after="40" w:lineRule="auto" w:line="300"/>
            </w:pPr>
            <w:r>
              <w:rPr>
                <w:rFonts w:ascii="Calibri" w:hAnsi="Calibri" w:eastAsia="Calibri"/>
                <w:b w:val="0"/>
                <w:i/>
                <w:color w:val="5D6466"/>
                <w:sz w:val="21"/>
              </w:rPr>
              <w:t>[Введите ответ]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bottom w:w="100" w:type="dxa"/>
              <w:start w:w="120" w:type="dxa"/>
              <w:end w:w="120" w:type="dxa"/>
            </w:tcMar>
            <w:vAlign w:val="center"/>
            <w:shd w:fill="F4F8EF" w:val="clear"/>
            <w:tcBorders>
              <w:start w:val="single" w:sz="20" w:color="78D91B"/>
              <w:top w:val="nil"/>
              <w:bottom w:val="nil"/>
              <w:end w:val="nil"/>
            </w:tcBorders>
          </w:tcPr>
          <w:p>
            <w:pPr>
              <w:keepNext w:val="0"/>
              <w:spacing w:before="0" w:after="60" w:lineRule="auto" w:line="300"/>
            </w:pPr>
            <w:r>
              <w:rPr>
                <w:rFonts w:ascii="Calibri" w:hAnsi="Calibri" w:eastAsia="Calibri"/>
                <w:b/>
                <w:i w:val="0"/>
                <w:color w:val="4E9E10"/>
                <w:sz w:val="21"/>
              </w:rPr>
              <w:t>Следующий шаг</w:t>
            </w:r>
          </w:p>
          <w:p>
            <w:pPr>
              <w:keepNext w:val="0"/>
              <w:spacing w:before="0" w:after="0" w:lineRule="auto" w:line="300"/>
            </w:pPr>
            <w:r>
              <w:rPr>
                <w:rFonts w:ascii="Calibri" w:hAnsi="Calibri" w:eastAsia="Calibri"/>
                <w:b w:val="0"/>
                <w:i w:val="0"/>
                <w:color w:val="202527"/>
                <w:sz w:val="21"/>
              </w:rPr>
              <w:t>Направьте заполненный файл и приложения на info@stkengineering.ru. СТК определит недостающие исследования и подготовит предварительный выбор модели, технологии А/В, границ поставки и программы дальнейшей проработки.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1037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120" w:type="dxa"/>
    </w:tblPr>
    <w:tblGrid>
      <w:gridCol w:w="6100"/>
      <w:gridCol w:w="3260"/>
    </w:tblGrid>
    <w:tr>
      <w:tc>
        <w:tcPr>
          <w:tcW w:type="dxa" w:w="6100"/>
          <w:tcMar>
            <w:top w:w="100" w:type="dxa"/>
            <w:bottom w:w="100" w:type="dxa"/>
            <w:start w:w="120" w:type="dxa"/>
            <w:end w:w="120" w:type="dxa"/>
          </w:tcMar>
          <w:vAlign w:val="center"/>
          <w:tcBorders>
            <w:top w:val="single" w:sz="5" w:color="D9DFDA"/>
            <w:bottom w:val="nil"/>
            <w:start w:val="nil"/>
            <w:end w:val="nil"/>
          </w:tcBorders>
        </w:tcPr>
        <w:p>
          <w:pPr>
            <w:keepNext w:val="0"/>
            <w:spacing w:before="0" w:after="0" w:lineRule="auto" w:line="300"/>
          </w:pPr>
          <w:r>
            <w:rPr>
              <w:rFonts w:ascii="Calibri" w:hAnsi="Calibri" w:eastAsia="Calibri"/>
              <w:b w:val="0"/>
              <w:i w:val="0"/>
              <w:color w:val="5D6466"/>
              <w:sz w:val="17"/>
            </w:rPr>
            <w:t>info@stkengineering.ru  ·  +7 (499) 404-05-25</w:t>
          </w:r>
        </w:p>
      </w:tc>
      <w:tc>
        <w:tcPr>
          <w:tcW w:type="dxa" w:w="3260"/>
          <w:tcMar>
            <w:top w:w="100" w:type="dxa"/>
            <w:bottom w:w="100" w:type="dxa"/>
            <w:start w:w="120" w:type="dxa"/>
            <w:end w:w="120" w:type="dxa"/>
          </w:tcMar>
          <w:vAlign w:val="center"/>
          <w:tcBorders>
            <w:top w:val="single" w:sz="5" w:color="D9DFDA"/>
            <w:bottom w:val="nil"/>
            <w:start w:val="nil"/>
            <w:end w:val="nil"/>
          </w:tcBorders>
        </w:tcPr>
        <w:p>
          <w:pPr>
            <w:keepNext w:val="0"/>
            <w:spacing w:before="0" w:after="0" w:lineRule="auto" w:line="300"/>
            <w:jc w:val="right"/>
          </w:pPr>
          <w:r>
            <w:rPr>
              <w:rFonts w:ascii="Calibri" w:hAnsi="Calibri" w:eastAsia="Calibri"/>
              <w:b w:val="0"/>
              <w:i w:val="0"/>
              <w:color w:val="5D6466"/>
              <w:sz w:val="17"/>
            </w:rPr>
            <w:t>www.stkengineering.ru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960120" cy="58487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k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58487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/>
        <w:i w:val="0"/>
        <w:color w:val="5D6466"/>
        <w:sz w:val="17"/>
      </w:rPr>
      <w:t xml:space="preserve">    МУПСД · ПРЕДВАРИТЕЛЬНЫЙ ПОДБОР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025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0252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0252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20252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предварительного подбора МУПСД</dc:title>
  <dc:subject>Мобильные установки получения среднего дистиллята</dc:subject>
  <dc:creator>ООО «СТК Инжиниринг»</dc:creator>
  <cp:keywords>МУПСД, средний дистиллят, опросный лист, СТК Инжиниринг</cp:keywords>
  <dc:description>Версия для сайта, июль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